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B4A" w:rsidRPr="00A73B4A" w:rsidRDefault="00A73B4A" w:rsidP="00A73B4A">
      <w:pPr>
        <w:pStyle w:val="Default"/>
        <w:rPr>
          <w:bCs/>
          <w:sz w:val="22"/>
          <w:szCs w:val="22"/>
        </w:rPr>
      </w:pPr>
      <w:r w:rsidRPr="00A73B4A">
        <w:rPr>
          <w:bCs/>
          <w:sz w:val="22"/>
          <w:szCs w:val="22"/>
        </w:rPr>
        <w:t>Vážený pan</w:t>
      </w:r>
    </w:p>
    <w:p w:rsidR="00A73B4A" w:rsidRPr="00A73B4A" w:rsidRDefault="00A73B4A" w:rsidP="00A73B4A">
      <w:pPr>
        <w:pStyle w:val="Default"/>
        <w:rPr>
          <w:bCs/>
          <w:sz w:val="22"/>
          <w:szCs w:val="22"/>
        </w:rPr>
      </w:pPr>
      <w:r w:rsidRPr="00A73B4A">
        <w:rPr>
          <w:bCs/>
          <w:sz w:val="22"/>
          <w:szCs w:val="22"/>
        </w:rPr>
        <w:t xml:space="preserve">prof. Ing. Vladimír </w:t>
      </w:r>
      <w:proofErr w:type="spellStart"/>
      <w:r w:rsidRPr="00A73B4A">
        <w:rPr>
          <w:bCs/>
          <w:sz w:val="22"/>
          <w:szCs w:val="22"/>
        </w:rPr>
        <w:t>Sedlařík</w:t>
      </w:r>
      <w:proofErr w:type="spellEnd"/>
      <w:r w:rsidRPr="00A73B4A">
        <w:rPr>
          <w:bCs/>
          <w:sz w:val="22"/>
          <w:szCs w:val="22"/>
        </w:rPr>
        <w:t>, Ph.D.</w:t>
      </w:r>
    </w:p>
    <w:p w:rsidR="00A73B4A" w:rsidRPr="00A73B4A" w:rsidRDefault="00A73B4A" w:rsidP="00A73B4A">
      <w:pPr>
        <w:pStyle w:val="Default"/>
        <w:rPr>
          <w:bCs/>
          <w:sz w:val="22"/>
          <w:szCs w:val="22"/>
        </w:rPr>
      </w:pPr>
      <w:r w:rsidRPr="00A73B4A">
        <w:rPr>
          <w:bCs/>
          <w:sz w:val="22"/>
          <w:szCs w:val="22"/>
        </w:rPr>
        <w:t>rektor Univerzity Tomáše Bati ve Zlíně</w:t>
      </w:r>
    </w:p>
    <w:p w:rsidR="00A73B4A" w:rsidRDefault="00A73B4A" w:rsidP="00A73B4A">
      <w:pPr>
        <w:pStyle w:val="Default"/>
        <w:rPr>
          <w:b/>
          <w:bCs/>
          <w:sz w:val="22"/>
          <w:szCs w:val="22"/>
        </w:rPr>
      </w:pPr>
      <w:r w:rsidRPr="00A73B4A">
        <w:rPr>
          <w:bCs/>
          <w:sz w:val="22"/>
          <w:szCs w:val="22"/>
        </w:rPr>
        <w:t>předseda RVH UTB</w:t>
      </w:r>
    </w:p>
    <w:p w:rsidR="00A73B4A" w:rsidRPr="00A73B4A" w:rsidRDefault="00A73B4A" w:rsidP="00A73B4A">
      <w:pPr>
        <w:pStyle w:val="Default"/>
        <w:rPr>
          <w:b/>
          <w:bCs/>
          <w:sz w:val="22"/>
          <w:szCs w:val="22"/>
        </w:rPr>
      </w:pPr>
    </w:p>
    <w:p w:rsidR="00A73B4A" w:rsidRPr="00A73B4A" w:rsidRDefault="00A73B4A" w:rsidP="00A73B4A">
      <w:pPr>
        <w:pStyle w:val="Default"/>
        <w:rPr>
          <w:bCs/>
          <w:sz w:val="22"/>
          <w:szCs w:val="22"/>
        </w:rPr>
      </w:pPr>
      <w:r w:rsidRPr="00A73B4A">
        <w:rPr>
          <w:bCs/>
          <w:sz w:val="22"/>
          <w:szCs w:val="22"/>
        </w:rPr>
        <w:t xml:space="preserve">Zlín, </w:t>
      </w:r>
      <w:r>
        <w:rPr>
          <w:bCs/>
          <w:sz w:val="22"/>
          <w:szCs w:val="22"/>
        </w:rPr>
        <w:t>14</w:t>
      </w:r>
      <w:r w:rsidRPr="00A73B4A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>2</w:t>
      </w:r>
      <w:r w:rsidRPr="00A73B4A">
        <w:rPr>
          <w:bCs/>
          <w:sz w:val="22"/>
          <w:szCs w:val="22"/>
        </w:rPr>
        <w:t>. 20</w:t>
      </w:r>
      <w:r>
        <w:rPr>
          <w:bCs/>
          <w:sz w:val="22"/>
          <w:szCs w:val="22"/>
        </w:rPr>
        <w:t>20</w:t>
      </w:r>
    </w:p>
    <w:p w:rsidR="00A73B4A" w:rsidRPr="00A73B4A" w:rsidRDefault="00A73B4A" w:rsidP="00A73B4A">
      <w:pPr>
        <w:pStyle w:val="Default"/>
        <w:rPr>
          <w:b/>
          <w:bCs/>
          <w:sz w:val="22"/>
          <w:szCs w:val="22"/>
        </w:rPr>
      </w:pPr>
    </w:p>
    <w:p w:rsidR="00A73B4A" w:rsidRPr="00A73B4A" w:rsidRDefault="00A73B4A" w:rsidP="00A73B4A">
      <w:pPr>
        <w:pStyle w:val="Default"/>
        <w:rPr>
          <w:bCs/>
          <w:sz w:val="22"/>
          <w:szCs w:val="22"/>
        </w:rPr>
      </w:pPr>
      <w:r w:rsidRPr="00A73B4A">
        <w:rPr>
          <w:bCs/>
          <w:sz w:val="22"/>
          <w:szCs w:val="22"/>
        </w:rPr>
        <w:t xml:space="preserve">Vážený pane rektore, předsedo RVH UTB, </w:t>
      </w:r>
    </w:p>
    <w:p w:rsidR="00A73B4A" w:rsidRPr="00A73B4A" w:rsidRDefault="00A73B4A" w:rsidP="00A73B4A">
      <w:pPr>
        <w:pStyle w:val="Default"/>
        <w:rPr>
          <w:bCs/>
          <w:sz w:val="22"/>
          <w:szCs w:val="22"/>
        </w:rPr>
      </w:pPr>
      <w:r w:rsidRPr="00A73B4A">
        <w:rPr>
          <w:bCs/>
          <w:sz w:val="22"/>
          <w:szCs w:val="22"/>
        </w:rPr>
        <w:t xml:space="preserve">zasíláme Vám komentář, který připojujeme k vypořádání vybraných usnesení, která byla přijata na </w:t>
      </w:r>
      <w:r>
        <w:rPr>
          <w:bCs/>
          <w:sz w:val="22"/>
          <w:szCs w:val="22"/>
        </w:rPr>
        <w:t>13</w:t>
      </w:r>
      <w:r w:rsidRPr="00A73B4A">
        <w:rPr>
          <w:bCs/>
          <w:sz w:val="22"/>
          <w:szCs w:val="22"/>
        </w:rPr>
        <w:t>. korespondenčním hlasování Rady pro vnitřní hodnocení Univerzity Tomáše Bati ve Zlíně pro Fakultu multimediálních komunikací.</w:t>
      </w:r>
    </w:p>
    <w:p w:rsidR="00A73B4A" w:rsidRPr="00A73B4A" w:rsidRDefault="00A73B4A" w:rsidP="00A73B4A">
      <w:pPr>
        <w:pStyle w:val="Default"/>
        <w:rPr>
          <w:b/>
          <w:bCs/>
          <w:sz w:val="22"/>
          <w:szCs w:val="22"/>
        </w:rPr>
      </w:pPr>
    </w:p>
    <w:p w:rsidR="00A73B4A" w:rsidRDefault="00A73B4A" w:rsidP="00735953">
      <w:pPr>
        <w:pStyle w:val="Default"/>
        <w:rPr>
          <w:b/>
          <w:bCs/>
          <w:sz w:val="22"/>
          <w:szCs w:val="22"/>
        </w:rPr>
      </w:pPr>
    </w:p>
    <w:p w:rsidR="00735953" w:rsidRPr="00402A5E" w:rsidRDefault="00735953" w:rsidP="00735953">
      <w:pPr>
        <w:pStyle w:val="Default"/>
        <w:rPr>
          <w:sz w:val="22"/>
          <w:szCs w:val="22"/>
        </w:rPr>
      </w:pPr>
      <w:r w:rsidRPr="00402A5E">
        <w:rPr>
          <w:b/>
          <w:bCs/>
          <w:sz w:val="22"/>
          <w:szCs w:val="22"/>
        </w:rPr>
        <w:t xml:space="preserve">Návrh usnesení č. 3/kh13: </w:t>
      </w:r>
    </w:p>
    <w:p w:rsidR="00735953" w:rsidRPr="00402A5E" w:rsidRDefault="00735953" w:rsidP="00D57FDB">
      <w:pPr>
        <w:pStyle w:val="Default"/>
        <w:jc w:val="both"/>
        <w:rPr>
          <w:sz w:val="22"/>
          <w:szCs w:val="22"/>
        </w:rPr>
      </w:pPr>
      <w:r w:rsidRPr="00402A5E">
        <w:rPr>
          <w:sz w:val="22"/>
          <w:szCs w:val="22"/>
        </w:rPr>
        <w:t>RVH UTB dle článku 24, odstavce 2 Řádu pro tvorbu, schvalování, uskutečňování a změny studijních programů UTB ve Zlíně ze dne 25. července 2019, přerušila projednávání návrhu na udělení oprávnění uskutečňovat bakalářský studijní program „</w:t>
      </w:r>
      <w:r w:rsidRPr="00402A5E">
        <w:rPr>
          <w:b/>
          <w:bCs/>
          <w:sz w:val="22"/>
          <w:szCs w:val="22"/>
        </w:rPr>
        <w:t>Teorie a praxe audiovizuální tvorby</w:t>
      </w:r>
      <w:r w:rsidRPr="00402A5E">
        <w:rPr>
          <w:sz w:val="22"/>
          <w:szCs w:val="22"/>
        </w:rPr>
        <w:t xml:space="preserve">“ v rámci institucionální akreditace a žádá předkladatele o vypořádání následujících připomínek: </w:t>
      </w:r>
    </w:p>
    <w:p w:rsidR="00B836C9" w:rsidRPr="00402A5E" w:rsidRDefault="00B836C9" w:rsidP="00735953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36C9" w:rsidRPr="00402A5E" w:rsidTr="00B836C9">
        <w:tc>
          <w:tcPr>
            <w:tcW w:w="9062" w:type="dxa"/>
          </w:tcPr>
          <w:p w:rsidR="00463560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B836C9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Opravit tvrzení na str. 219 ohledně podmínek úspěšného ukončení studia (správně má být Studijní a zkušební řád UTB a vnitřní předpis FMK Pravidla studia).</w:t>
            </w:r>
          </w:p>
          <w:p w:rsidR="00463560" w:rsidRPr="00402A5E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402A5E" w:rsidTr="0091648E">
        <w:tc>
          <w:tcPr>
            <w:tcW w:w="9062" w:type="dxa"/>
            <w:shd w:val="clear" w:color="auto" w:fill="FFC000"/>
          </w:tcPr>
          <w:p w:rsidR="00F504F5" w:rsidRPr="00402A5E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</w:t>
            </w:r>
            <w:r w:rsidR="00D57FDB" w:rsidRPr="00402A5E">
              <w:rPr>
                <w:sz w:val="22"/>
                <w:szCs w:val="22"/>
              </w:rPr>
              <w:t xml:space="preserve"> </w:t>
            </w:r>
          </w:p>
          <w:p w:rsidR="00B836C9" w:rsidRPr="00402A5E" w:rsidRDefault="00692E66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 xml:space="preserve">Podmínky úspěšného ukončení studia jsou zveřejněny </w:t>
            </w:r>
            <w:bookmarkStart w:id="0" w:name="_Hlk30593995"/>
            <w:r w:rsidRPr="00402A5E">
              <w:rPr>
                <w:sz w:val="22"/>
                <w:szCs w:val="22"/>
              </w:rPr>
              <w:t>ve Studijním a zkušebním řádu UTB ve Zlíně a vnitřním předpisu FMK Pravidla průběhu studia ve studijních programech uskutečňovaných na FMK</w:t>
            </w:r>
            <w:bookmarkEnd w:id="0"/>
            <w:r w:rsidRPr="00402A5E">
              <w:rPr>
                <w:sz w:val="22"/>
                <w:szCs w:val="22"/>
              </w:rPr>
              <w:t>.</w:t>
            </w:r>
          </w:p>
        </w:tc>
      </w:tr>
      <w:tr w:rsidR="00B836C9" w:rsidRPr="00402A5E" w:rsidTr="00B836C9">
        <w:tc>
          <w:tcPr>
            <w:tcW w:w="9062" w:type="dxa"/>
          </w:tcPr>
          <w:p w:rsidR="00463560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B836C9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Bez jednoznačné definice ve Studijním a zkušebním řádu UTB neužívat neurčité pojmy „klauzura“, „klauzurní zadání“, klauzurní cvičení“.</w:t>
            </w:r>
          </w:p>
          <w:p w:rsidR="00463560" w:rsidRPr="00402A5E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402A5E" w:rsidTr="0091648E">
        <w:tc>
          <w:tcPr>
            <w:tcW w:w="9062" w:type="dxa"/>
            <w:shd w:val="clear" w:color="auto" w:fill="FFC000"/>
          </w:tcPr>
          <w:p w:rsidR="00E13AB0" w:rsidRPr="00402A5E" w:rsidRDefault="001D570B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</w:t>
            </w:r>
            <w:r w:rsidR="00D61A5F" w:rsidRPr="00402A5E">
              <w:rPr>
                <w:sz w:val="22"/>
                <w:szCs w:val="22"/>
              </w:rPr>
              <w:t xml:space="preserve"> </w:t>
            </w:r>
          </w:p>
          <w:p w:rsidR="00B836C9" w:rsidRPr="00402A5E" w:rsidRDefault="00D61A5F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P</w:t>
            </w:r>
            <w:r w:rsidR="001D570B" w:rsidRPr="00402A5E">
              <w:rPr>
                <w:sz w:val="22"/>
                <w:szCs w:val="22"/>
              </w:rPr>
              <w:t>oj</w:t>
            </w:r>
            <w:r w:rsidR="000979E4">
              <w:rPr>
                <w:sz w:val="22"/>
                <w:szCs w:val="22"/>
              </w:rPr>
              <w:t>em</w:t>
            </w:r>
            <w:r w:rsidR="00E13AB0" w:rsidRPr="00402A5E">
              <w:rPr>
                <w:sz w:val="22"/>
                <w:szCs w:val="22"/>
              </w:rPr>
              <w:t xml:space="preserve"> „klauzurní“ nahrazen pojmem „</w:t>
            </w:r>
            <w:r w:rsidR="001D570B" w:rsidRPr="00402A5E">
              <w:rPr>
                <w:sz w:val="22"/>
                <w:szCs w:val="22"/>
              </w:rPr>
              <w:t>semestrální</w:t>
            </w:r>
            <w:r w:rsidR="00E13AB0" w:rsidRPr="00402A5E">
              <w:rPr>
                <w:sz w:val="22"/>
                <w:szCs w:val="22"/>
              </w:rPr>
              <w:t>“</w:t>
            </w:r>
            <w:r w:rsidR="001D570B" w:rsidRPr="00402A5E">
              <w:rPr>
                <w:sz w:val="22"/>
                <w:szCs w:val="22"/>
              </w:rPr>
              <w:t>.</w:t>
            </w:r>
          </w:p>
        </w:tc>
      </w:tr>
      <w:tr w:rsidR="00B836C9" w:rsidRPr="00402A5E" w:rsidTr="00B836C9">
        <w:tc>
          <w:tcPr>
            <w:tcW w:w="9062" w:type="dxa"/>
          </w:tcPr>
          <w:p w:rsidR="00463560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B836C9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V sebehodnotící zprávě (standardy 5.</w:t>
            </w:r>
            <w:proofErr w:type="gramStart"/>
            <w:r w:rsidRPr="00402A5E">
              <w:rPr>
                <w:sz w:val="22"/>
                <w:szCs w:val="22"/>
              </w:rPr>
              <w:t>2 – 5</w:t>
            </w:r>
            <w:proofErr w:type="gramEnd"/>
            <w:r w:rsidRPr="00402A5E">
              <w:rPr>
                <w:sz w:val="22"/>
                <w:szCs w:val="22"/>
              </w:rPr>
              <w:t>.4 a 6.1 – 2 a 6.7 – 8) nahradit formulace „žádost o prodloužení platnosti akreditace“ žádostí o novou akreditaci SP.</w:t>
            </w:r>
          </w:p>
          <w:p w:rsidR="00463560" w:rsidRPr="00402A5E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402A5E" w:rsidTr="0091648E">
        <w:tc>
          <w:tcPr>
            <w:tcW w:w="9062" w:type="dxa"/>
            <w:shd w:val="clear" w:color="auto" w:fill="FFC000"/>
          </w:tcPr>
          <w:p w:rsidR="00B836C9" w:rsidRPr="00402A5E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</w:t>
            </w:r>
            <w:r w:rsidR="00E13AB0" w:rsidRPr="00402A5E">
              <w:rPr>
                <w:sz w:val="22"/>
                <w:szCs w:val="22"/>
              </w:rPr>
              <w:t xml:space="preserve">   </w:t>
            </w:r>
          </w:p>
        </w:tc>
      </w:tr>
      <w:tr w:rsidR="00B836C9" w:rsidRPr="00402A5E" w:rsidTr="00B836C9">
        <w:tc>
          <w:tcPr>
            <w:tcW w:w="9062" w:type="dxa"/>
          </w:tcPr>
          <w:p w:rsidR="00463560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B836C9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Ve studijních plánech specializací upravit typ závěrečné práce na bakalářskou, v tématech bakalářských prací zohlednit praktickou část bakalářské práce.</w:t>
            </w:r>
          </w:p>
          <w:p w:rsidR="00463560" w:rsidRPr="00402A5E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402A5E" w:rsidTr="0091648E">
        <w:tc>
          <w:tcPr>
            <w:tcW w:w="9062" w:type="dxa"/>
            <w:shd w:val="clear" w:color="auto" w:fill="FFC000"/>
          </w:tcPr>
          <w:p w:rsidR="00E13AB0" w:rsidRPr="00402A5E" w:rsidRDefault="00E13AB0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</w:t>
            </w:r>
            <w:r w:rsidR="00F504F5" w:rsidRPr="00402A5E">
              <w:rPr>
                <w:sz w:val="22"/>
                <w:szCs w:val="22"/>
              </w:rPr>
              <w:t>/DOPLN</w:t>
            </w:r>
            <w:r w:rsidR="00373E0E">
              <w:rPr>
                <w:sz w:val="22"/>
                <w:szCs w:val="22"/>
              </w:rPr>
              <w:t>Ě</w:t>
            </w:r>
            <w:r w:rsidR="00F504F5" w:rsidRPr="00402A5E">
              <w:rPr>
                <w:sz w:val="22"/>
                <w:szCs w:val="22"/>
              </w:rPr>
              <w:t>NO</w:t>
            </w:r>
          </w:p>
        </w:tc>
      </w:tr>
      <w:tr w:rsidR="00B836C9" w:rsidRPr="00402A5E" w:rsidTr="00B836C9">
        <w:tc>
          <w:tcPr>
            <w:tcW w:w="9062" w:type="dxa"/>
          </w:tcPr>
          <w:p w:rsidR="00463560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B836C9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Popis budov a místností (str. 3) přesunout do části C-IV Materiální zabezpečení SP</w:t>
            </w:r>
            <w:r w:rsidR="00F504F5" w:rsidRPr="00402A5E">
              <w:rPr>
                <w:sz w:val="22"/>
                <w:szCs w:val="22"/>
              </w:rPr>
              <w:t>.</w:t>
            </w:r>
          </w:p>
          <w:p w:rsidR="00463560" w:rsidRPr="00402A5E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402A5E" w:rsidTr="0091648E">
        <w:tc>
          <w:tcPr>
            <w:tcW w:w="9062" w:type="dxa"/>
            <w:shd w:val="clear" w:color="auto" w:fill="FFC000"/>
          </w:tcPr>
          <w:p w:rsidR="00B836C9" w:rsidRPr="00402A5E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</w:t>
            </w:r>
          </w:p>
        </w:tc>
      </w:tr>
      <w:tr w:rsidR="00B836C9" w:rsidRPr="00402A5E" w:rsidTr="00B836C9">
        <w:tc>
          <w:tcPr>
            <w:tcW w:w="9062" w:type="dxa"/>
          </w:tcPr>
          <w:p w:rsidR="00463560" w:rsidRDefault="00463560" w:rsidP="00D61A5F">
            <w:pPr>
              <w:pStyle w:val="Default"/>
              <w:spacing w:after="27"/>
              <w:rPr>
                <w:sz w:val="22"/>
                <w:szCs w:val="22"/>
              </w:rPr>
            </w:pPr>
          </w:p>
          <w:p w:rsidR="00B836C9" w:rsidRDefault="00B836C9" w:rsidP="00D61A5F">
            <w:pPr>
              <w:pStyle w:val="Default"/>
              <w:spacing w:after="27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 xml:space="preserve">Není vhodné stavět na 1. místo ve výčtu rámcového uplatnění absolventů reklamní agenturu a reklamní tvorbu, nýbrž audiovizuální tvorbu. </w:t>
            </w:r>
          </w:p>
          <w:p w:rsidR="00463560" w:rsidRPr="00402A5E" w:rsidRDefault="00463560" w:rsidP="00D61A5F">
            <w:pPr>
              <w:pStyle w:val="Default"/>
              <w:spacing w:after="27"/>
              <w:rPr>
                <w:sz w:val="22"/>
                <w:szCs w:val="22"/>
              </w:rPr>
            </w:pPr>
          </w:p>
        </w:tc>
      </w:tr>
      <w:tr w:rsidR="00B836C9" w:rsidRPr="00402A5E" w:rsidTr="0091648E">
        <w:tc>
          <w:tcPr>
            <w:tcW w:w="9062" w:type="dxa"/>
            <w:shd w:val="clear" w:color="auto" w:fill="FFC000"/>
          </w:tcPr>
          <w:p w:rsidR="00B836C9" w:rsidRPr="00402A5E" w:rsidRDefault="0091648E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</w:t>
            </w:r>
          </w:p>
        </w:tc>
      </w:tr>
    </w:tbl>
    <w:p w:rsidR="00CC6926" w:rsidRDefault="00CC692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36C9" w:rsidRPr="00402A5E" w:rsidTr="00B836C9">
        <w:tc>
          <w:tcPr>
            <w:tcW w:w="9062" w:type="dxa"/>
          </w:tcPr>
          <w:p w:rsidR="00CC6926" w:rsidRDefault="00CC6926" w:rsidP="00735953">
            <w:pPr>
              <w:pStyle w:val="Default"/>
              <w:rPr>
                <w:sz w:val="22"/>
                <w:szCs w:val="22"/>
              </w:rPr>
            </w:pPr>
          </w:p>
          <w:p w:rsidR="00B836C9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Okomentovat poměr mezi praktickými předměty (nyní výrazně převládajícími) a základními teoretickými předměty, vzhledem k názvu studijního programu Teorie a praxe audiovizuální tvorby.</w:t>
            </w:r>
          </w:p>
          <w:p w:rsidR="00463560" w:rsidRPr="00402A5E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402A5E" w:rsidTr="00E20D78">
        <w:trPr>
          <w:trHeight w:val="1394"/>
        </w:trPr>
        <w:tc>
          <w:tcPr>
            <w:tcW w:w="9062" w:type="dxa"/>
            <w:shd w:val="clear" w:color="auto" w:fill="FFC000"/>
          </w:tcPr>
          <w:p w:rsidR="00B836C9" w:rsidRPr="00402A5E" w:rsidRDefault="00770E85" w:rsidP="00190F30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402A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Přestože by se mohlo z předkládaných studijních plánů zdát, že převažují praktické předměty, je třeba brát v úvahu úzké propojení audiovizuální teorie s realizací praktických cvičení. I předměty typu Audiovizuální praktika či Výrobní praktika studenty připravují jak z ohledu praktický</w:t>
            </w:r>
            <w:r w:rsidR="00190F30" w:rsidRPr="00402A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ch</w:t>
            </w:r>
            <w:r w:rsidRPr="00402A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dovedností, tak teoretických znalostí.</w:t>
            </w:r>
            <w:r w:rsidR="00373E0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402A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Vzhledem k výše uvedenému funkčnímu propojení teorie s audiovizuální prax</w:t>
            </w:r>
            <w:r w:rsidR="003B412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í</w:t>
            </w:r>
            <w:r w:rsidR="006C79AA" w:rsidRPr="00402A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402A5E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jsou naplněny klíčové aspekty programu Teorie a praxe audiovizuální tvorby. </w:t>
            </w:r>
          </w:p>
        </w:tc>
      </w:tr>
      <w:tr w:rsidR="00B836C9" w:rsidRPr="00402A5E" w:rsidTr="00B836C9">
        <w:tc>
          <w:tcPr>
            <w:tcW w:w="9062" w:type="dxa"/>
          </w:tcPr>
          <w:p w:rsidR="00463560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B836C9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Doplnit v akreditačním materiálu karty B-III předmětů „Anglický jazyk 1“ – „Anglický jazyk 4</w:t>
            </w:r>
          </w:p>
          <w:p w:rsidR="00463560" w:rsidRPr="00402A5E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402A5E" w:rsidTr="0091648E">
        <w:tc>
          <w:tcPr>
            <w:tcW w:w="9062" w:type="dxa"/>
            <w:shd w:val="clear" w:color="auto" w:fill="FFC000"/>
          </w:tcPr>
          <w:p w:rsidR="00B836C9" w:rsidRPr="00402A5E" w:rsidRDefault="00084BA5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Na základě doporučení prorektora pro pedagogickou činnost byla vzhledem k množství úrovní</w:t>
            </w:r>
            <w:r w:rsidR="00DB4482" w:rsidRPr="00402A5E">
              <w:rPr>
                <w:sz w:val="22"/>
                <w:szCs w:val="22"/>
              </w:rPr>
              <w:t xml:space="preserve"> výuky</w:t>
            </w:r>
            <w:r w:rsidRPr="00402A5E">
              <w:rPr>
                <w:sz w:val="22"/>
                <w:szCs w:val="22"/>
              </w:rPr>
              <w:t xml:space="preserve"> anglického jazyka </w:t>
            </w:r>
            <w:r w:rsidR="00DB4482" w:rsidRPr="00402A5E">
              <w:rPr>
                <w:sz w:val="22"/>
                <w:szCs w:val="22"/>
              </w:rPr>
              <w:t xml:space="preserve">doložena </w:t>
            </w:r>
            <w:r w:rsidRPr="00402A5E">
              <w:rPr>
                <w:sz w:val="22"/>
                <w:szCs w:val="22"/>
              </w:rPr>
              <w:t xml:space="preserve">karta předmětu definující </w:t>
            </w:r>
            <w:r w:rsidR="00DB4482" w:rsidRPr="00402A5E">
              <w:rPr>
                <w:sz w:val="22"/>
                <w:szCs w:val="22"/>
              </w:rPr>
              <w:t>výslednou úroveň znalostí B2 dle CEFR.</w:t>
            </w:r>
            <w:r w:rsidRPr="00402A5E">
              <w:rPr>
                <w:sz w:val="22"/>
                <w:szCs w:val="22"/>
              </w:rPr>
              <w:t xml:space="preserve"> </w:t>
            </w:r>
          </w:p>
        </w:tc>
      </w:tr>
      <w:tr w:rsidR="00B836C9" w:rsidRPr="00402A5E" w:rsidTr="00B836C9">
        <w:tc>
          <w:tcPr>
            <w:tcW w:w="9062" w:type="dxa"/>
          </w:tcPr>
          <w:p w:rsidR="00463560" w:rsidRDefault="00463560" w:rsidP="00735953">
            <w:pPr>
              <w:pStyle w:val="Default"/>
              <w:rPr>
                <w:sz w:val="22"/>
                <w:szCs w:val="22"/>
              </w:rPr>
            </w:pPr>
          </w:p>
          <w:p w:rsidR="00B836C9" w:rsidRDefault="00B836C9" w:rsidP="00735953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Okomentovat v sebehodnotící zprávě podíl garanta SP na garanci předmětů „Seminář k bakalářské práci“ (podmínka SR 32/2019 Standardy studijních programů).</w:t>
            </w:r>
          </w:p>
          <w:p w:rsidR="00463560" w:rsidRPr="00402A5E" w:rsidRDefault="00463560" w:rsidP="00735953">
            <w:pPr>
              <w:pStyle w:val="Default"/>
              <w:rPr>
                <w:sz w:val="22"/>
                <w:szCs w:val="22"/>
              </w:rPr>
            </w:pPr>
          </w:p>
        </w:tc>
      </w:tr>
      <w:tr w:rsidR="00B836C9" w:rsidRPr="00402A5E" w:rsidTr="0091648E">
        <w:tc>
          <w:tcPr>
            <w:tcW w:w="9062" w:type="dxa"/>
            <w:shd w:val="clear" w:color="auto" w:fill="FFC000"/>
          </w:tcPr>
          <w:p w:rsidR="002B3AF5" w:rsidRDefault="00D61A5F" w:rsidP="00735953">
            <w:pPr>
              <w:pStyle w:val="Default"/>
              <w:rPr>
                <w:color w:val="auto"/>
                <w:sz w:val="22"/>
                <w:szCs w:val="22"/>
              </w:rPr>
            </w:pPr>
            <w:r w:rsidRPr="00E20D78">
              <w:rPr>
                <w:color w:val="auto"/>
                <w:sz w:val="22"/>
                <w:szCs w:val="22"/>
              </w:rPr>
              <w:t>UPRAVENO</w:t>
            </w:r>
            <w:r w:rsidR="00DF3686" w:rsidRPr="00E20D78">
              <w:rPr>
                <w:color w:val="auto"/>
                <w:sz w:val="22"/>
                <w:szCs w:val="22"/>
              </w:rPr>
              <w:t xml:space="preserve"> v</w:t>
            </w:r>
            <w:r w:rsidR="002B3AF5">
              <w:rPr>
                <w:color w:val="auto"/>
                <w:sz w:val="22"/>
                <w:szCs w:val="22"/>
              </w:rPr>
              <w:t> sebehodnotící zprávě, v</w:t>
            </w:r>
            <w:r w:rsidRPr="00E20D78">
              <w:rPr>
                <w:color w:val="auto"/>
                <w:sz w:val="22"/>
                <w:szCs w:val="22"/>
              </w:rPr>
              <w:t> kart</w:t>
            </w:r>
            <w:r w:rsidR="002B3AF5">
              <w:rPr>
                <w:color w:val="auto"/>
                <w:sz w:val="22"/>
                <w:szCs w:val="22"/>
              </w:rPr>
              <w:t>ách</w:t>
            </w:r>
            <w:r w:rsidRPr="00E20D78">
              <w:rPr>
                <w:color w:val="auto"/>
                <w:sz w:val="22"/>
                <w:szCs w:val="22"/>
              </w:rPr>
              <w:t xml:space="preserve"> předmět</w:t>
            </w:r>
            <w:r w:rsidR="002B3AF5">
              <w:rPr>
                <w:color w:val="auto"/>
                <w:sz w:val="22"/>
                <w:szCs w:val="22"/>
              </w:rPr>
              <w:t>ů</w:t>
            </w:r>
            <w:r w:rsidR="00B57623" w:rsidRPr="00E20D78">
              <w:rPr>
                <w:color w:val="auto"/>
                <w:sz w:val="22"/>
                <w:szCs w:val="22"/>
              </w:rPr>
              <w:t xml:space="preserve"> i kart</w:t>
            </w:r>
            <w:r w:rsidR="009C16BB" w:rsidRPr="00E20D78">
              <w:rPr>
                <w:color w:val="auto"/>
                <w:sz w:val="22"/>
                <w:szCs w:val="22"/>
              </w:rPr>
              <w:t>ách</w:t>
            </w:r>
            <w:r w:rsidR="00B57623" w:rsidRPr="00E20D78">
              <w:rPr>
                <w:color w:val="auto"/>
                <w:sz w:val="22"/>
                <w:szCs w:val="22"/>
              </w:rPr>
              <w:t xml:space="preserve"> personálního zabezpečení</w:t>
            </w:r>
            <w:r w:rsidR="00831F1F" w:rsidRPr="00E20D78">
              <w:rPr>
                <w:color w:val="auto"/>
                <w:sz w:val="22"/>
                <w:szCs w:val="22"/>
              </w:rPr>
              <w:t xml:space="preserve">, </w:t>
            </w:r>
            <w:r w:rsidR="00B57623" w:rsidRPr="00E20D78">
              <w:rPr>
                <w:color w:val="auto"/>
                <w:sz w:val="22"/>
                <w:szCs w:val="22"/>
              </w:rPr>
              <w:t xml:space="preserve">dle podmínek SR 32/2019. </w:t>
            </w:r>
          </w:p>
          <w:p w:rsidR="00B836C9" w:rsidRPr="00402A5E" w:rsidRDefault="002B3AF5" w:rsidP="00735953">
            <w:pPr>
              <w:pStyle w:val="Default"/>
              <w:rPr>
                <w:color w:val="FF0000"/>
                <w:sz w:val="22"/>
                <w:szCs w:val="22"/>
              </w:rPr>
            </w:pPr>
            <w:r w:rsidRPr="002B3AF5">
              <w:rPr>
                <w:color w:val="auto"/>
                <w:sz w:val="22"/>
                <w:szCs w:val="22"/>
              </w:rPr>
              <w:t xml:space="preserve">Garantem předmětu Seminář k bakalářské práci je garant studijního programu. Na semináři </w:t>
            </w:r>
            <w:proofErr w:type="gramStart"/>
            <w:r w:rsidRPr="002B3AF5">
              <w:rPr>
                <w:color w:val="auto"/>
                <w:sz w:val="22"/>
                <w:szCs w:val="22"/>
              </w:rPr>
              <w:t>se  podílí</w:t>
            </w:r>
            <w:proofErr w:type="gramEnd"/>
            <w:r w:rsidRPr="002B3AF5">
              <w:rPr>
                <w:color w:val="auto"/>
                <w:sz w:val="22"/>
                <w:szCs w:val="22"/>
              </w:rPr>
              <w:t xml:space="preserve"> další pedagogové, kteří vedou teoretickou část bakalářské práce. Garantem předmětu Bakalářský projekt je vždy garant specializace. Na semináři se podílí další pedagogové, kteří vedou praktickou část bakalář</w:t>
            </w:r>
            <w:r>
              <w:rPr>
                <w:color w:val="auto"/>
                <w:sz w:val="22"/>
                <w:szCs w:val="22"/>
              </w:rPr>
              <w:t>s</w:t>
            </w:r>
            <w:r w:rsidRPr="002B3AF5">
              <w:rPr>
                <w:color w:val="auto"/>
                <w:sz w:val="22"/>
                <w:szCs w:val="22"/>
              </w:rPr>
              <w:t>ké práce.</w:t>
            </w:r>
          </w:p>
        </w:tc>
      </w:tr>
    </w:tbl>
    <w:p w:rsidR="006357A3" w:rsidRPr="00402A5E" w:rsidRDefault="006357A3">
      <w:pPr>
        <w:spacing w:after="160" w:line="259" w:lineRule="auto"/>
        <w:rPr>
          <w:rFonts w:eastAsiaTheme="minorHAnsi"/>
          <w:color w:val="000000"/>
          <w:sz w:val="22"/>
          <w:szCs w:val="22"/>
          <w:lang w:eastAsia="en-US"/>
        </w:rPr>
      </w:pPr>
    </w:p>
    <w:p w:rsidR="00DF3686" w:rsidRPr="00402A5E" w:rsidRDefault="00DF3686" w:rsidP="00735953">
      <w:pPr>
        <w:pStyle w:val="Default"/>
        <w:rPr>
          <w:b/>
          <w:bCs/>
          <w:sz w:val="22"/>
          <w:szCs w:val="22"/>
        </w:rPr>
      </w:pPr>
    </w:p>
    <w:p w:rsidR="00463560" w:rsidRDefault="00463560">
      <w:pPr>
        <w:spacing w:after="160" w:line="259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br w:type="page"/>
      </w:r>
    </w:p>
    <w:p w:rsidR="00735953" w:rsidRPr="00402A5E" w:rsidRDefault="00735953" w:rsidP="00735953">
      <w:pPr>
        <w:pStyle w:val="Default"/>
        <w:rPr>
          <w:sz w:val="22"/>
          <w:szCs w:val="22"/>
        </w:rPr>
      </w:pPr>
      <w:r w:rsidRPr="00402A5E">
        <w:rPr>
          <w:b/>
          <w:bCs/>
          <w:sz w:val="22"/>
          <w:szCs w:val="22"/>
        </w:rPr>
        <w:lastRenderedPageBreak/>
        <w:t xml:space="preserve">Návrh usnesení č. 4/kh13: </w:t>
      </w:r>
    </w:p>
    <w:p w:rsidR="00735953" w:rsidRPr="00402A5E" w:rsidRDefault="00735953" w:rsidP="006357A3">
      <w:pPr>
        <w:pStyle w:val="Default"/>
        <w:jc w:val="both"/>
        <w:rPr>
          <w:sz w:val="22"/>
          <w:szCs w:val="22"/>
        </w:rPr>
      </w:pPr>
      <w:r w:rsidRPr="00402A5E">
        <w:rPr>
          <w:sz w:val="22"/>
          <w:szCs w:val="22"/>
        </w:rPr>
        <w:t>RVH UTB dle článku 24, odstavce 2 Řádu pro tvorbu, schvalování, uskutečňování a změny studijních programů UTB ve Zlíně ze dne 25. července 2019, přerušila projednávání návrhu na udělení oprávnění uskutečňovat navazující magisterský studijní program „</w:t>
      </w:r>
      <w:r w:rsidRPr="00402A5E">
        <w:rPr>
          <w:b/>
          <w:bCs/>
          <w:sz w:val="22"/>
          <w:szCs w:val="22"/>
        </w:rPr>
        <w:t>Teorie a praxe audiovizuální tvorby</w:t>
      </w:r>
      <w:r w:rsidRPr="00402A5E">
        <w:rPr>
          <w:sz w:val="22"/>
          <w:szCs w:val="22"/>
        </w:rPr>
        <w:t xml:space="preserve">“ v rámci institucionální akreditace a žádá předkladatele o vypořádání následujících připomínek: </w:t>
      </w:r>
    </w:p>
    <w:p w:rsidR="00D515FF" w:rsidRPr="00402A5E" w:rsidRDefault="00D515FF" w:rsidP="00735953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15FF" w:rsidRPr="00402A5E" w:rsidTr="001F60F6">
        <w:tc>
          <w:tcPr>
            <w:tcW w:w="9062" w:type="dxa"/>
          </w:tcPr>
          <w:p w:rsidR="00463560" w:rsidRDefault="00463560" w:rsidP="00FA0F5F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515FF" w:rsidRPr="00402A5E" w:rsidRDefault="00D515FF" w:rsidP="00FA0F5F">
            <w:pPr>
              <w:pStyle w:val="Default"/>
              <w:rPr>
                <w:color w:val="auto"/>
                <w:sz w:val="22"/>
                <w:szCs w:val="22"/>
              </w:rPr>
            </w:pPr>
            <w:r w:rsidRPr="00402A5E">
              <w:rPr>
                <w:color w:val="auto"/>
                <w:sz w:val="22"/>
                <w:szCs w:val="22"/>
              </w:rPr>
              <w:t xml:space="preserve">Opravit tvrzení na str. 115 ohledně podmínek úspěšného ukončení studia (správně má </w:t>
            </w:r>
          </w:p>
          <w:p w:rsidR="00D515FF" w:rsidRDefault="00D515FF" w:rsidP="00FA0F5F">
            <w:pPr>
              <w:pStyle w:val="Default"/>
              <w:rPr>
                <w:color w:val="auto"/>
                <w:sz w:val="22"/>
                <w:szCs w:val="22"/>
              </w:rPr>
            </w:pPr>
            <w:r w:rsidRPr="00402A5E">
              <w:rPr>
                <w:color w:val="auto"/>
                <w:sz w:val="22"/>
                <w:szCs w:val="22"/>
              </w:rPr>
              <w:t xml:space="preserve">být Studijní a zkušební řád UTB a vnitřní předpis FMK Pravidla studia). </w:t>
            </w:r>
          </w:p>
          <w:p w:rsidR="00463560" w:rsidRPr="00402A5E" w:rsidRDefault="00463560" w:rsidP="00FA0F5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D515FF" w:rsidRPr="00402A5E" w:rsidTr="001F60F6">
        <w:tc>
          <w:tcPr>
            <w:tcW w:w="9062" w:type="dxa"/>
            <w:shd w:val="clear" w:color="auto" w:fill="FFC000"/>
          </w:tcPr>
          <w:p w:rsidR="00D515FF" w:rsidRPr="00402A5E" w:rsidRDefault="00084BA5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</w:t>
            </w:r>
          </w:p>
          <w:p w:rsidR="006357A3" w:rsidRPr="00402A5E" w:rsidRDefault="006357A3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Podmínky úspěšného ukončení studia jsou zveřejněny ve Studijním a zkušebním řádu UTB ve Zlíně a vnitřním předpisu FMK Pravidla průběhu studia ve studijních programech uskutečňovaných na FMK.</w:t>
            </w:r>
          </w:p>
        </w:tc>
      </w:tr>
      <w:tr w:rsidR="00D515FF" w:rsidRPr="00402A5E" w:rsidTr="001F60F6">
        <w:tc>
          <w:tcPr>
            <w:tcW w:w="9062" w:type="dxa"/>
          </w:tcPr>
          <w:p w:rsidR="00463560" w:rsidRDefault="00463560" w:rsidP="001F60F6">
            <w:pPr>
              <w:pStyle w:val="Default"/>
              <w:rPr>
                <w:sz w:val="22"/>
                <w:szCs w:val="22"/>
              </w:rPr>
            </w:pPr>
          </w:p>
          <w:p w:rsidR="00D515FF" w:rsidRDefault="00D515FF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Bez jednoznačné definice ve Studijním a zkušebním řádu UTB neužívat neurčité pojmy „klauzura“, „klauzurní zadání“, klauzurní cvičení“.</w:t>
            </w:r>
          </w:p>
          <w:p w:rsidR="00463560" w:rsidRPr="00402A5E" w:rsidRDefault="00463560" w:rsidP="001F60F6">
            <w:pPr>
              <w:pStyle w:val="Default"/>
              <w:rPr>
                <w:sz w:val="22"/>
                <w:szCs w:val="22"/>
              </w:rPr>
            </w:pPr>
          </w:p>
        </w:tc>
      </w:tr>
      <w:tr w:rsidR="00D515FF" w:rsidRPr="00402A5E" w:rsidTr="001F60F6">
        <w:tc>
          <w:tcPr>
            <w:tcW w:w="9062" w:type="dxa"/>
            <w:shd w:val="clear" w:color="auto" w:fill="FFC000"/>
          </w:tcPr>
          <w:p w:rsidR="006357A3" w:rsidRPr="00402A5E" w:rsidRDefault="00084BA5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 xml:space="preserve">OPRAVENO </w:t>
            </w:r>
          </w:p>
          <w:p w:rsidR="00D515FF" w:rsidRPr="00402A5E" w:rsidRDefault="006357A3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Poj</w:t>
            </w:r>
            <w:r w:rsidR="006F2859">
              <w:rPr>
                <w:sz w:val="22"/>
                <w:szCs w:val="22"/>
              </w:rPr>
              <w:t>em</w:t>
            </w:r>
            <w:r w:rsidRPr="00402A5E">
              <w:rPr>
                <w:sz w:val="22"/>
                <w:szCs w:val="22"/>
              </w:rPr>
              <w:t xml:space="preserve"> „klauzurní“ nahrazen pojmem „semestrální“.</w:t>
            </w:r>
          </w:p>
        </w:tc>
      </w:tr>
      <w:tr w:rsidR="00D515FF" w:rsidRPr="00402A5E" w:rsidTr="001F60F6">
        <w:tc>
          <w:tcPr>
            <w:tcW w:w="9062" w:type="dxa"/>
          </w:tcPr>
          <w:p w:rsidR="00463560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  <w:p w:rsidR="00D515FF" w:rsidRDefault="00D515FF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  <w:r w:rsidRPr="00402A5E">
              <w:rPr>
                <w:color w:val="auto"/>
                <w:sz w:val="22"/>
                <w:szCs w:val="22"/>
              </w:rPr>
              <w:t xml:space="preserve">V tématech kvalifikačních prací zohlednit praktickou část kvalifikační práce. </w:t>
            </w:r>
          </w:p>
          <w:p w:rsidR="00463560" w:rsidRPr="00402A5E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</w:tc>
      </w:tr>
      <w:tr w:rsidR="00D515FF" w:rsidRPr="00402A5E" w:rsidTr="001F60F6">
        <w:tc>
          <w:tcPr>
            <w:tcW w:w="9062" w:type="dxa"/>
            <w:shd w:val="clear" w:color="auto" w:fill="FFC000"/>
          </w:tcPr>
          <w:p w:rsidR="00D515FF" w:rsidRPr="00402A5E" w:rsidRDefault="002E4255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DOPLNĚNO</w:t>
            </w:r>
          </w:p>
        </w:tc>
      </w:tr>
      <w:tr w:rsidR="00D515FF" w:rsidRPr="00402A5E" w:rsidTr="001F60F6">
        <w:tc>
          <w:tcPr>
            <w:tcW w:w="9062" w:type="dxa"/>
          </w:tcPr>
          <w:p w:rsidR="00463560" w:rsidRDefault="00463560" w:rsidP="001F60F6">
            <w:pPr>
              <w:pStyle w:val="Default"/>
              <w:rPr>
                <w:sz w:val="22"/>
                <w:szCs w:val="22"/>
              </w:rPr>
            </w:pPr>
          </w:p>
          <w:p w:rsidR="00D515FF" w:rsidRDefault="00D515FF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Popis budov a místností (str. 3) přesunout do části C-IV Materiální zabezpečení SP</w:t>
            </w:r>
          </w:p>
          <w:p w:rsidR="00463560" w:rsidRPr="00402A5E" w:rsidRDefault="00463560" w:rsidP="001F60F6">
            <w:pPr>
              <w:pStyle w:val="Default"/>
              <w:rPr>
                <w:sz w:val="22"/>
                <w:szCs w:val="22"/>
              </w:rPr>
            </w:pPr>
          </w:p>
        </w:tc>
      </w:tr>
      <w:tr w:rsidR="00D515FF" w:rsidRPr="00402A5E" w:rsidTr="001F60F6">
        <w:tc>
          <w:tcPr>
            <w:tcW w:w="9062" w:type="dxa"/>
            <w:shd w:val="clear" w:color="auto" w:fill="FFC000"/>
          </w:tcPr>
          <w:p w:rsidR="00D515FF" w:rsidRPr="00402A5E" w:rsidRDefault="00084BA5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</w:t>
            </w:r>
          </w:p>
        </w:tc>
      </w:tr>
      <w:tr w:rsidR="00D515FF" w:rsidRPr="00402A5E" w:rsidTr="001F60F6">
        <w:tc>
          <w:tcPr>
            <w:tcW w:w="9062" w:type="dxa"/>
          </w:tcPr>
          <w:p w:rsidR="00463560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  <w:p w:rsidR="00D515FF" w:rsidRDefault="00D515FF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  <w:r w:rsidRPr="00402A5E">
              <w:rPr>
                <w:color w:val="auto"/>
                <w:sz w:val="22"/>
                <w:szCs w:val="22"/>
              </w:rPr>
              <w:t>Opravit v akreditačním materiálu rozpor mezi kartami B-III předmětů „</w:t>
            </w:r>
            <w:proofErr w:type="spellStart"/>
            <w:r w:rsidRPr="00402A5E">
              <w:rPr>
                <w:color w:val="auto"/>
                <w:sz w:val="22"/>
                <w:szCs w:val="22"/>
              </w:rPr>
              <w:t>English</w:t>
            </w:r>
            <w:proofErr w:type="spellEnd"/>
            <w:r w:rsidRPr="00402A5E">
              <w:rPr>
                <w:color w:val="auto"/>
                <w:sz w:val="22"/>
                <w:szCs w:val="22"/>
              </w:rPr>
              <w:t xml:space="preserve"> Club 1“ a „</w:t>
            </w:r>
            <w:proofErr w:type="spellStart"/>
            <w:r w:rsidRPr="00402A5E">
              <w:rPr>
                <w:color w:val="auto"/>
                <w:sz w:val="22"/>
                <w:szCs w:val="22"/>
              </w:rPr>
              <w:t>English</w:t>
            </w:r>
            <w:proofErr w:type="spellEnd"/>
            <w:r w:rsidRPr="00402A5E">
              <w:rPr>
                <w:color w:val="auto"/>
                <w:sz w:val="22"/>
                <w:szCs w:val="22"/>
              </w:rPr>
              <w:t xml:space="preserve"> Club 2“ a předměty „Anglický jazyk 7“ – „Anglický jazyk 8“, uvedenými ve studijních plánech. </w:t>
            </w:r>
          </w:p>
          <w:p w:rsidR="00463560" w:rsidRPr="00402A5E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</w:tc>
      </w:tr>
      <w:tr w:rsidR="00D515FF" w:rsidRPr="00402A5E" w:rsidTr="001F60F6">
        <w:tc>
          <w:tcPr>
            <w:tcW w:w="9062" w:type="dxa"/>
            <w:shd w:val="clear" w:color="auto" w:fill="FFC000"/>
          </w:tcPr>
          <w:p w:rsidR="00D515FF" w:rsidRPr="00402A5E" w:rsidRDefault="00084BA5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OPRAVENO. Rozpor odstraněn.</w:t>
            </w:r>
            <w:r w:rsidR="002E4255" w:rsidRPr="00402A5E">
              <w:rPr>
                <w:sz w:val="22"/>
                <w:szCs w:val="22"/>
              </w:rPr>
              <w:t xml:space="preserve"> </w:t>
            </w:r>
          </w:p>
        </w:tc>
      </w:tr>
      <w:tr w:rsidR="00D515FF" w:rsidRPr="00402A5E" w:rsidTr="001F60F6">
        <w:tc>
          <w:tcPr>
            <w:tcW w:w="9062" w:type="dxa"/>
          </w:tcPr>
          <w:p w:rsidR="00373E0E" w:rsidRDefault="00373E0E" w:rsidP="001F60F6">
            <w:pPr>
              <w:pStyle w:val="Default"/>
              <w:rPr>
                <w:sz w:val="22"/>
                <w:szCs w:val="22"/>
              </w:rPr>
            </w:pPr>
          </w:p>
          <w:p w:rsidR="00D515FF" w:rsidRDefault="00D515FF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Okomentovat poměr mezi praktickými předměty (nyní výrazně převládajícími) a základními teoretickými předměty, vzhledem k názvu studijního programu Teorie a praxe audiovizuální tvorby.</w:t>
            </w:r>
          </w:p>
          <w:p w:rsidR="00373E0E" w:rsidRPr="00402A5E" w:rsidRDefault="00373E0E" w:rsidP="001F60F6">
            <w:pPr>
              <w:pStyle w:val="Default"/>
              <w:rPr>
                <w:sz w:val="22"/>
                <w:szCs w:val="22"/>
              </w:rPr>
            </w:pPr>
          </w:p>
        </w:tc>
      </w:tr>
      <w:tr w:rsidR="00D515FF" w:rsidRPr="00402A5E" w:rsidTr="001F60F6">
        <w:tc>
          <w:tcPr>
            <w:tcW w:w="9062" w:type="dxa"/>
            <w:shd w:val="clear" w:color="auto" w:fill="FFC000"/>
          </w:tcPr>
          <w:p w:rsidR="00D515FF" w:rsidRPr="00402A5E" w:rsidRDefault="00084BA5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Přestože by se mohlo z předkládaných studijních plánů zdát, že převažují praktické předměty, je třeba brát v úvahu úzké propojení audiovizuální teorie s realizací praktických cvičení. I předměty typu Audiovizuální praktika či Výrobní praktika studenty připravují jak z ohledu praktický</w:t>
            </w:r>
            <w:r w:rsidR="006F2859">
              <w:rPr>
                <w:sz w:val="22"/>
                <w:szCs w:val="22"/>
              </w:rPr>
              <w:t>ch</w:t>
            </w:r>
            <w:r w:rsidRPr="00402A5E">
              <w:rPr>
                <w:sz w:val="22"/>
                <w:szCs w:val="22"/>
              </w:rPr>
              <w:t xml:space="preserve"> dovedností, tak teoretických znalostí.  Vzhledem k výše uvedenému funkčnímu propojení teorie s audiovizuální prax</w:t>
            </w:r>
            <w:r w:rsidR="006F2859">
              <w:rPr>
                <w:sz w:val="22"/>
                <w:szCs w:val="22"/>
              </w:rPr>
              <w:t>í</w:t>
            </w:r>
            <w:bookmarkStart w:id="1" w:name="_GoBack"/>
            <w:bookmarkEnd w:id="1"/>
            <w:r w:rsidRPr="00402A5E">
              <w:rPr>
                <w:sz w:val="22"/>
                <w:szCs w:val="22"/>
              </w:rPr>
              <w:t xml:space="preserve"> jsou naplněny klíčové aspekty programu Teorie a praxe audiovizuální tvorby. </w:t>
            </w:r>
          </w:p>
        </w:tc>
      </w:tr>
      <w:tr w:rsidR="00D515FF" w:rsidRPr="00402A5E" w:rsidTr="001F60F6">
        <w:tc>
          <w:tcPr>
            <w:tcW w:w="9062" w:type="dxa"/>
          </w:tcPr>
          <w:p w:rsidR="00463560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  <w:p w:rsidR="00D515FF" w:rsidRDefault="00D515FF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  <w:r w:rsidRPr="00402A5E">
              <w:rPr>
                <w:color w:val="auto"/>
                <w:sz w:val="22"/>
                <w:szCs w:val="22"/>
              </w:rPr>
              <w:t>V sebehodnotící zprávě (standardy 5.</w:t>
            </w:r>
            <w:proofErr w:type="gramStart"/>
            <w:r w:rsidRPr="00402A5E">
              <w:rPr>
                <w:color w:val="auto"/>
                <w:sz w:val="22"/>
                <w:szCs w:val="22"/>
              </w:rPr>
              <w:t>2 – 5</w:t>
            </w:r>
            <w:proofErr w:type="gramEnd"/>
            <w:r w:rsidRPr="00402A5E">
              <w:rPr>
                <w:color w:val="auto"/>
                <w:sz w:val="22"/>
                <w:szCs w:val="22"/>
              </w:rPr>
              <w:t xml:space="preserve">.4 a 6.1 – 2 a 6.7 – 8) nahradit formulace „žádost o prodloužení platnosti akreditace“ žádostí o novou akreditaci SP. </w:t>
            </w:r>
          </w:p>
          <w:p w:rsidR="00463560" w:rsidRPr="00402A5E" w:rsidRDefault="00463560" w:rsidP="00084BA5">
            <w:pPr>
              <w:pStyle w:val="Default"/>
              <w:spacing w:after="27"/>
              <w:rPr>
                <w:color w:val="auto"/>
                <w:sz w:val="22"/>
                <w:szCs w:val="22"/>
              </w:rPr>
            </w:pPr>
          </w:p>
        </w:tc>
      </w:tr>
      <w:tr w:rsidR="00D515FF" w:rsidRPr="00402A5E" w:rsidTr="001F60F6">
        <w:tc>
          <w:tcPr>
            <w:tcW w:w="9062" w:type="dxa"/>
            <w:shd w:val="clear" w:color="auto" w:fill="FFC000"/>
          </w:tcPr>
          <w:p w:rsidR="00D515FF" w:rsidRPr="00402A5E" w:rsidRDefault="00084BA5" w:rsidP="001F60F6">
            <w:pPr>
              <w:pStyle w:val="Default"/>
              <w:rPr>
                <w:sz w:val="22"/>
                <w:szCs w:val="22"/>
              </w:rPr>
            </w:pPr>
            <w:r w:rsidRPr="00402A5E">
              <w:rPr>
                <w:sz w:val="22"/>
                <w:szCs w:val="22"/>
              </w:rPr>
              <w:t>OPRAVENO</w:t>
            </w:r>
          </w:p>
        </w:tc>
      </w:tr>
    </w:tbl>
    <w:p w:rsidR="00E54CE4" w:rsidRDefault="00E54CE4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15FF" w:rsidRPr="00402A5E" w:rsidTr="001F60F6">
        <w:tc>
          <w:tcPr>
            <w:tcW w:w="9062" w:type="dxa"/>
          </w:tcPr>
          <w:p w:rsidR="00463560" w:rsidRDefault="00463560" w:rsidP="001F60F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515FF" w:rsidRDefault="00D515FF" w:rsidP="001F60F6">
            <w:pPr>
              <w:pStyle w:val="Default"/>
              <w:rPr>
                <w:color w:val="auto"/>
                <w:sz w:val="22"/>
                <w:szCs w:val="22"/>
              </w:rPr>
            </w:pPr>
            <w:r w:rsidRPr="00402A5E">
              <w:rPr>
                <w:color w:val="auto"/>
                <w:sz w:val="22"/>
                <w:szCs w:val="22"/>
              </w:rPr>
              <w:t xml:space="preserve">Okomentovat v sebehodnotící zprávě podíl garanta SP na garanci předmětů „Seminář k diplomové práci (podmínka SR 32/2019 Standardy studijních programů). Na kartě B-III předmětu je uvedena </w:t>
            </w:r>
            <w:proofErr w:type="spellStart"/>
            <w:r w:rsidRPr="00402A5E">
              <w:rPr>
                <w:color w:val="auto"/>
                <w:sz w:val="22"/>
                <w:szCs w:val="22"/>
              </w:rPr>
              <w:t>garantka</w:t>
            </w:r>
            <w:proofErr w:type="spellEnd"/>
            <w:r w:rsidRPr="00402A5E">
              <w:rPr>
                <w:color w:val="auto"/>
                <w:sz w:val="22"/>
                <w:szCs w:val="22"/>
              </w:rPr>
              <w:t xml:space="preserve"> dosavadního SP. </w:t>
            </w:r>
          </w:p>
          <w:p w:rsidR="00463560" w:rsidRPr="00402A5E" w:rsidRDefault="00463560" w:rsidP="001F60F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9C16BB" w:rsidRPr="00402A5E" w:rsidTr="001F60F6">
        <w:tc>
          <w:tcPr>
            <w:tcW w:w="9062" w:type="dxa"/>
            <w:shd w:val="clear" w:color="auto" w:fill="FFC000"/>
          </w:tcPr>
          <w:p w:rsidR="002B3AF5" w:rsidRDefault="002B3AF5" w:rsidP="002B3AF5">
            <w:pPr>
              <w:pStyle w:val="Default"/>
              <w:rPr>
                <w:color w:val="auto"/>
                <w:sz w:val="22"/>
                <w:szCs w:val="22"/>
              </w:rPr>
            </w:pPr>
            <w:r w:rsidRPr="00E20D78">
              <w:rPr>
                <w:color w:val="auto"/>
                <w:sz w:val="22"/>
                <w:szCs w:val="22"/>
              </w:rPr>
              <w:t>UPRAVENO v</w:t>
            </w:r>
            <w:r>
              <w:rPr>
                <w:color w:val="auto"/>
                <w:sz w:val="22"/>
                <w:szCs w:val="22"/>
              </w:rPr>
              <w:t> sebehodnotící zprávě, v</w:t>
            </w:r>
            <w:r w:rsidRPr="00E20D78">
              <w:rPr>
                <w:color w:val="auto"/>
                <w:sz w:val="22"/>
                <w:szCs w:val="22"/>
              </w:rPr>
              <w:t> kart</w:t>
            </w:r>
            <w:r>
              <w:rPr>
                <w:color w:val="auto"/>
                <w:sz w:val="22"/>
                <w:szCs w:val="22"/>
              </w:rPr>
              <w:t>ách</w:t>
            </w:r>
            <w:r w:rsidRPr="00E20D78">
              <w:rPr>
                <w:color w:val="auto"/>
                <w:sz w:val="22"/>
                <w:szCs w:val="22"/>
              </w:rPr>
              <w:t xml:space="preserve"> předmět</w:t>
            </w:r>
            <w:r>
              <w:rPr>
                <w:color w:val="auto"/>
                <w:sz w:val="22"/>
                <w:szCs w:val="22"/>
              </w:rPr>
              <w:t>ů</w:t>
            </w:r>
            <w:r w:rsidRPr="00E20D78">
              <w:rPr>
                <w:color w:val="auto"/>
                <w:sz w:val="22"/>
                <w:szCs w:val="22"/>
              </w:rPr>
              <w:t xml:space="preserve"> i kartách personálního zabezpečení, dle podmínek SR 32/2019. </w:t>
            </w:r>
          </w:p>
          <w:p w:rsidR="009C16BB" w:rsidRPr="00402A5E" w:rsidRDefault="002B3AF5" w:rsidP="002B3AF5">
            <w:pPr>
              <w:pStyle w:val="Default"/>
              <w:rPr>
                <w:sz w:val="22"/>
                <w:szCs w:val="22"/>
              </w:rPr>
            </w:pPr>
            <w:r w:rsidRPr="002B3AF5">
              <w:rPr>
                <w:color w:val="auto"/>
                <w:sz w:val="22"/>
                <w:szCs w:val="22"/>
              </w:rPr>
              <w:t xml:space="preserve">Garantem předmětu Seminář k </w:t>
            </w:r>
            <w:r>
              <w:rPr>
                <w:color w:val="auto"/>
                <w:sz w:val="22"/>
                <w:szCs w:val="22"/>
              </w:rPr>
              <w:t>diplomové</w:t>
            </w:r>
            <w:r w:rsidRPr="002B3AF5">
              <w:rPr>
                <w:color w:val="auto"/>
                <w:sz w:val="22"/>
                <w:szCs w:val="22"/>
              </w:rPr>
              <w:t xml:space="preserve"> práci je garant studijního programu. Na semináři </w:t>
            </w:r>
            <w:proofErr w:type="gramStart"/>
            <w:r w:rsidRPr="002B3AF5">
              <w:rPr>
                <w:color w:val="auto"/>
                <w:sz w:val="22"/>
                <w:szCs w:val="22"/>
              </w:rPr>
              <w:t>se  podílí</w:t>
            </w:r>
            <w:proofErr w:type="gramEnd"/>
            <w:r w:rsidRPr="002B3AF5">
              <w:rPr>
                <w:color w:val="auto"/>
                <w:sz w:val="22"/>
                <w:szCs w:val="22"/>
              </w:rPr>
              <w:t xml:space="preserve"> další pedagogové, kteří vedou teoretickou část </w:t>
            </w:r>
            <w:r>
              <w:rPr>
                <w:color w:val="auto"/>
                <w:sz w:val="22"/>
                <w:szCs w:val="22"/>
              </w:rPr>
              <w:t>diplomové</w:t>
            </w:r>
            <w:r w:rsidRPr="002B3AF5">
              <w:rPr>
                <w:color w:val="auto"/>
                <w:sz w:val="22"/>
                <w:szCs w:val="22"/>
              </w:rPr>
              <w:t xml:space="preserve"> práce. Garantem předmětu </w:t>
            </w:r>
            <w:r>
              <w:rPr>
                <w:color w:val="auto"/>
                <w:sz w:val="22"/>
                <w:szCs w:val="22"/>
              </w:rPr>
              <w:t>Diplomový</w:t>
            </w:r>
            <w:r w:rsidRPr="002B3AF5">
              <w:rPr>
                <w:color w:val="auto"/>
                <w:sz w:val="22"/>
                <w:szCs w:val="22"/>
              </w:rPr>
              <w:t xml:space="preserve"> projekt je vždy garant specializace. Na semináři se podílí další pedagogové, kteří vedou praktickou část </w:t>
            </w:r>
            <w:r>
              <w:rPr>
                <w:color w:val="auto"/>
                <w:sz w:val="22"/>
                <w:szCs w:val="22"/>
              </w:rPr>
              <w:t>diplomové</w:t>
            </w:r>
            <w:r w:rsidRPr="002B3AF5">
              <w:rPr>
                <w:color w:val="auto"/>
                <w:sz w:val="22"/>
                <w:szCs w:val="22"/>
              </w:rPr>
              <w:t xml:space="preserve"> práce.</w:t>
            </w:r>
          </w:p>
        </w:tc>
      </w:tr>
    </w:tbl>
    <w:p w:rsidR="00D515FF" w:rsidRPr="00402A5E" w:rsidRDefault="00D515FF" w:rsidP="00735953">
      <w:pPr>
        <w:pStyle w:val="Default"/>
        <w:rPr>
          <w:sz w:val="22"/>
          <w:szCs w:val="22"/>
        </w:rPr>
      </w:pPr>
    </w:p>
    <w:sectPr w:rsidR="00D515FF" w:rsidRPr="00402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53"/>
    <w:rsid w:val="00084BA5"/>
    <w:rsid w:val="000979E4"/>
    <w:rsid w:val="000E64F1"/>
    <w:rsid w:val="00190F30"/>
    <w:rsid w:val="001D3F73"/>
    <w:rsid w:val="001D570B"/>
    <w:rsid w:val="002B3AF5"/>
    <w:rsid w:val="002E4255"/>
    <w:rsid w:val="00373E0E"/>
    <w:rsid w:val="003B412B"/>
    <w:rsid w:val="003D3F61"/>
    <w:rsid w:val="00402A5E"/>
    <w:rsid w:val="00463560"/>
    <w:rsid w:val="00482DC1"/>
    <w:rsid w:val="005279FF"/>
    <w:rsid w:val="006357A3"/>
    <w:rsid w:val="00692E66"/>
    <w:rsid w:val="006B4BE4"/>
    <w:rsid w:val="006B6D93"/>
    <w:rsid w:val="006C79AA"/>
    <w:rsid w:val="006F2859"/>
    <w:rsid w:val="00735953"/>
    <w:rsid w:val="00770E85"/>
    <w:rsid w:val="00827EB9"/>
    <w:rsid w:val="00831F1F"/>
    <w:rsid w:val="00853704"/>
    <w:rsid w:val="008F1A10"/>
    <w:rsid w:val="0091648E"/>
    <w:rsid w:val="009C16BB"/>
    <w:rsid w:val="009E33DD"/>
    <w:rsid w:val="00A127A1"/>
    <w:rsid w:val="00A73B4A"/>
    <w:rsid w:val="00AB1B01"/>
    <w:rsid w:val="00AF5B06"/>
    <w:rsid w:val="00B57623"/>
    <w:rsid w:val="00B836C9"/>
    <w:rsid w:val="00C17D7E"/>
    <w:rsid w:val="00CC6926"/>
    <w:rsid w:val="00D515FF"/>
    <w:rsid w:val="00D57FDB"/>
    <w:rsid w:val="00D61A5F"/>
    <w:rsid w:val="00DB4482"/>
    <w:rsid w:val="00DF3686"/>
    <w:rsid w:val="00E13AB0"/>
    <w:rsid w:val="00E20D78"/>
    <w:rsid w:val="00E54CE4"/>
    <w:rsid w:val="00EB58D1"/>
    <w:rsid w:val="00EE4498"/>
    <w:rsid w:val="00F504F5"/>
    <w:rsid w:val="00FA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596C"/>
  <w15:chartTrackingRefBased/>
  <w15:docId w15:val="{4614FA56-AB62-45E5-B525-A9A25DB2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E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3B4A"/>
    <w:pPr>
      <w:keepNext/>
      <w:outlineLvl w:val="0"/>
    </w:pPr>
    <w:rPr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359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B8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A73B4A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73B4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921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Janíková</dc:creator>
  <cp:keywords/>
  <dc:description/>
  <cp:lastModifiedBy>Ponížilová Hana</cp:lastModifiedBy>
  <cp:revision>7</cp:revision>
  <dcterms:created xsi:type="dcterms:W3CDTF">2020-02-13T20:59:00Z</dcterms:created>
  <dcterms:modified xsi:type="dcterms:W3CDTF">2020-02-14T12:10:00Z</dcterms:modified>
</cp:coreProperties>
</file>